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after="240"/>
        <w:jc w:val="center"/>
        <w:rPr>
          <w:rFonts w:hint="default" w:ascii="黑体" w:hAnsi="宋体" w:eastAsia="黑体" w:cs="宋体"/>
          <w:kern w:val="0"/>
          <w:sz w:val="24"/>
          <w:szCs w:val="24"/>
          <w:lang w:val="en-US" w:eastAsia="zh-CN"/>
        </w:rPr>
      </w:pPr>
      <w:r>
        <w:rPr>
          <w:rFonts w:hint="eastAsia" w:ascii="黑体" w:hAnsi="宋体" w:eastAsia="黑体" w:cs="宋体"/>
          <w:b/>
          <w:bCs/>
          <w:kern w:val="0"/>
          <w:sz w:val="36"/>
          <w:szCs w:val="36"/>
          <w:lang w:val="en-US" w:eastAsia="zh-CN"/>
        </w:rPr>
        <w:t>英特自然村征地补偿款分配方案</w:t>
      </w:r>
    </w:p>
    <w:p>
      <w:pPr>
        <w:widowControl/>
        <w:numPr>
          <w:ilvl w:val="0"/>
          <w:numId w:val="1"/>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eastAsia="zh-CN"/>
        </w:rPr>
        <w:t>英特自然村所有到账补偿款明细如下：</w:t>
      </w:r>
    </w:p>
    <w:p>
      <w:pPr>
        <w:widowControl/>
        <w:numPr>
          <w:ilvl w:val="0"/>
          <w:numId w:val="2"/>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eastAsia="zh-CN"/>
        </w:rPr>
        <w:t>奈曼旗工业园区新增建设用地征地</w:t>
      </w:r>
      <w:r>
        <w:rPr>
          <w:rFonts w:hint="eastAsia" w:ascii="黑体" w:hAnsi="黑体" w:eastAsia="黑体" w:cs="黑体"/>
          <w:kern w:val="0"/>
          <w:sz w:val="24"/>
          <w:szCs w:val="24"/>
          <w:lang w:val="en-US" w:eastAsia="zh-CN"/>
        </w:rPr>
        <w:t>补偿款581.707208万元，征地协议签订时间为2020年5月12日；</w:t>
      </w:r>
    </w:p>
    <w:p>
      <w:pPr>
        <w:widowControl/>
        <w:numPr>
          <w:ilvl w:val="0"/>
          <w:numId w:val="2"/>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奈曼旗工业园区厂区东侧道路占地补偿款6.78189万元，征地协议签订时间为2020年6月20日，</w:t>
      </w:r>
    </w:p>
    <w:p>
      <w:pPr>
        <w:widowControl/>
        <w:numPr>
          <w:ilvl w:val="0"/>
          <w:numId w:val="2"/>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eastAsia="zh-CN"/>
        </w:rPr>
        <w:t>奈曼旗工业园区新增建设用地西侧道路</w:t>
      </w:r>
      <w:r>
        <w:rPr>
          <w:rFonts w:hint="eastAsia" w:ascii="黑体" w:hAnsi="黑体" w:eastAsia="黑体" w:cs="黑体"/>
          <w:kern w:val="0"/>
          <w:sz w:val="24"/>
          <w:szCs w:val="24"/>
          <w:lang w:val="en-US" w:eastAsia="zh-CN"/>
        </w:rPr>
        <w:t>占地补偿款24.353177万元，征地协议签订时间为2018年9月28日；</w:t>
      </w:r>
    </w:p>
    <w:p>
      <w:pPr>
        <w:widowControl/>
        <w:numPr>
          <w:ilvl w:val="0"/>
          <w:numId w:val="2"/>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征占地补偿款合计金额：612.842275万元；</w:t>
      </w:r>
    </w:p>
    <w:p>
      <w:pPr>
        <w:widowControl/>
        <w:numPr>
          <w:ilvl w:val="0"/>
          <w:numId w:val="1"/>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上述补偿款拟定按补偿款总额的10％作为村集体提留用于公益事业建设，包括公共服务、基础设施改造、村集体办公服务等，剩余补偿款以自然村为单位核定人口平均分配；</w:t>
      </w:r>
    </w:p>
    <w:p>
      <w:pPr>
        <w:widowControl/>
        <w:numPr>
          <w:ilvl w:val="0"/>
          <w:numId w:val="1"/>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本次分配征地补偿款核定人口截止时间点为2020年12月1日晚12时；</w:t>
      </w:r>
    </w:p>
    <w:p>
      <w:pPr>
        <w:widowControl/>
        <w:numPr>
          <w:ilvl w:val="0"/>
          <w:numId w:val="1"/>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符合法律规定分配本次征地补偿款的村民范围为以下五项：</w:t>
      </w:r>
    </w:p>
    <w:p>
      <w:pPr>
        <w:widowControl/>
        <w:numPr>
          <w:ilvl w:val="0"/>
          <w:numId w:val="0"/>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一）1、581.707208万元补偿款自征地补偿款协议签订之日2020年5月12日24时---自然村核定人口时间点（2020年12月1日晚12时）死亡及纳入国家机关、事业单位在编人员及国家企业正式职工的具有本自然村农业户口的人员给予分配此笔补偿款；</w:t>
      </w:r>
    </w:p>
    <w:p>
      <w:pPr>
        <w:widowControl/>
        <w:numPr>
          <w:ilvl w:val="0"/>
          <w:numId w:val="0"/>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6.78189万元补偿款自征地补偿款协议签订之日2020年6月20日24时---自然村核定人口时间点（2020年12月1日晚12时）死亡及纳入国家机关、事业单位在编人员及国家企业正式职工的具有本自然村农业户口的人员给予分配此笔补偿款；</w:t>
      </w:r>
    </w:p>
    <w:p>
      <w:pPr>
        <w:widowControl/>
        <w:numPr>
          <w:ilvl w:val="0"/>
          <w:numId w:val="0"/>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24.353177万元补偿款自征地补偿款协议签订之日2018年9月28日24时---自然村核定人口时间点（2020年12月1日晚12时）死亡及纳入国家机关、事业单位在编人员及国家企业正式职工的具有本自然村农业户口的人员给予分配此笔补偿款；</w:t>
      </w:r>
    </w:p>
    <w:p>
      <w:pPr>
        <w:widowControl/>
        <w:numPr>
          <w:ilvl w:val="0"/>
          <w:numId w:val="3"/>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自然村核定人口时间点，具有本自然村农业户口的（包括在校大学生、现役军人和其他符合法律规定的人口）应予以分配补偿款；</w:t>
      </w:r>
    </w:p>
    <w:p>
      <w:pPr>
        <w:widowControl/>
        <w:numPr>
          <w:ilvl w:val="0"/>
          <w:numId w:val="3"/>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自然村核定人口时间点，具有本自然村居住的非农业户口的人员不予分配补偿款；</w:t>
      </w:r>
    </w:p>
    <w:p>
      <w:pPr>
        <w:widowControl/>
        <w:numPr>
          <w:ilvl w:val="0"/>
          <w:numId w:val="3"/>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每笔补偿款协议签订之前已经死亡及</w:t>
      </w:r>
      <w:r>
        <w:rPr>
          <w:rFonts w:hint="eastAsia" w:ascii="黑体" w:hAnsi="黑体" w:eastAsia="黑体" w:cs="黑体"/>
          <w:sz w:val="24"/>
          <w:szCs w:val="24"/>
          <w:lang w:val="en-US" w:eastAsia="zh-CN"/>
        </w:rPr>
        <w:t>是国家机关、事业单位（包括旗政府统一安排工作的三类生）正式职工的财政供养人员和国企有正式工作的职工及有正式工作的离退休财政供养人员不予分配补偿款（不包括临时工）。</w:t>
      </w:r>
    </w:p>
    <w:p>
      <w:pPr>
        <w:widowControl/>
        <w:numPr>
          <w:ilvl w:val="0"/>
          <w:numId w:val="3"/>
        </w:numPr>
        <w:spacing w:after="24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自然村核定人口时间点，具有本自然村农业户口的出生婴儿（包括具有本自然村户籍的外嫁姑娘的孩子，签订挂户协议的除外）、嫁入的媳妇和入赘的养老女婿且户口已迁入本自然村（包括嫁入本自然村后已经离婚的妇女）、外嫁姑娘户口仍在本自然村未迁出的应分配补偿款；</w:t>
      </w:r>
    </w:p>
    <w:p>
      <w:pPr>
        <w:widowControl/>
        <w:numPr>
          <w:ilvl w:val="0"/>
          <w:numId w:val="1"/>
        </w:numPr>
        <w:spacing w:after="240"/>
        <w:ind w:left="0" w:leftChars="0" w:firstLine="0" w:firstLineChars="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本方案公示期为7天，自2020年12月2日---2020年12月8日，公示7天无异议后由村委会负责收集本自然村农户户籍人口，严格按上述方案核定分配补偿款人口，核算完成后张榜公示7天，依本方案公示无异议后，英特嘎查村委会负责依公示的人口计算各户补偿款发放具体金额，报镇政府审核无误后，以打入一卡通的方式全额支付。</w:t>
      </w:r>
    </w:p>
    <w:p>
      <w:pPr>
        <w:widowControl/>
        <w:numPr>
          <w:ilvl w:val="0"/>
          <w:numId w:val="1"/>
        </w:numPr>
        <w:spacing w:after="240"/>
        <w:ind w:left="0" w:leftChars="0" w:firstLine="0" w:firstLineChars="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如对本方案排除的人口有异议，应当在公示期内向村委会提出，经村委会研究不能给与明确答复的，村委会将保留相应人口的补偿款份额。异议人口经相关部门认定按法律和政策应当分配补偿款的，村委会将直接发放补偿款；按法律和政策不能明确的，其可通过诉讼途径获得生效法律文书后，村委会将依据生效法律文书决定是否发放征地补偿款。</w:t>
      </w:r>
    </w:p>
    <w:p>
      <w:pPr>
        <w:widowControl/>
        <w:numPr>
          <w:numId w:val="0"/>
        </w:numPr>
        <w:spacing w:after="240"/>
        <w:jc w:val="both"/>
        <w:rPr>
          <w:rFonts w:hint="eastAsia" w:ascii="黑体" w:hAnsi="黑体" w:eastAsia="黑体" w:cs="黑体"/>
          <w:kern w:val="0"/>
          <w:sz w:val="24"/>
          <w:szCs w:val="24"/>
          <w:lang w:val="en-US" w:eastAsia="zh-CN"/>
        </w:rPr>
      </w:pPr>
    </w:p>
    <w:p>
      <w:pPr>
        <w:widowControl/>
        <w:numPr>
          <w:numId w:val="0"/>
        </w:numPr>
        <w:spacing w:after="240"/>
        <w:jc w:val="both"/>
        <w:rPr>
          <w:rFonts w:hint="eastAsia" w:ascii="黑体" w:hAnsi="黑体" w:eastAsia="黑体" w:cs="黑体"/>
          <w:kern w:val="0"/>
          <w:sz w:val="24"/>
          <w:szCs w:val="24"/>
          <w:lang w:val="en-US" w:eastAsia="zh-CN"/>
        </w:rPr>
      </w:pPr>
    </w:p>
    <w:p>
      <w:pPr>
        <w:widowControl/>
        <w:numPr>
          <w:ilvl w:val="0"/>
          <w:numId w:val="0"/>
        </w:numPr>
        <w:spacing w:after="240"/>
        <w:ind w:leftChars="0"/>
        <w:rPr>
          <w:rFonts w:hint="eastAsia" w:ascii="黑体" w:hAnsi="黑体" w:eastAsia="黑体" w:cs="黑体"/>
          <w:kern w:val="0"/>
          <w:sz w:val="24"/>
          <w:szCs w:val="24"/>
          <w:lang w:val="en-US" w:eastAsia="zh-CN"/>
        </w:rPr>
      </w:pPr>
    </w:p>
    <w:p>
      <w:pPr>
        <w:widowControl/>
        <w:numPr>
          <w:ilvl w:val="0"/>
          <w:numId w:val="0"/>
        </w:numPr>
        <w:spacing w:after="240"/>
        <w:ind w:leftChars="0"/>
        <w:rPr>
          <w:rFonts w:hint="eastAsia" w:ascii="黑体" w:hAnsi="黑体" w:eastAsia="黑体" w:cs="黑体"/>
          <w:kern w:val="0"/>
          <w:sz w:val="24"/>
          <w:szCs w:val="24"/>
          <w:lang w:val="en-US" w:eastAsia="zh-CN"/>
        </w:rPr>
      </w:pPr>
    </w:p>
    <w:p>
      <w:pPr>
        <w:widowControl/>
        <w:numPr>
          <w:ilvl w:val="0"/>
          <w:numId w:val="0"/>
        </w:numPr>
        <w:spacing w:after="240"/>
        <w:ind w:leftChars="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w:t>
      </w:r>
    </w:p>
    <w:p>
      <w:pPr>
        <w:widowControl/>
        <w:numPr>
          <w:ilvl w:val="0"/>
          <w:numId w:val="0"/>
        </w:numPr>
        <w:spacing w:after="240"/>
        <w:ind w:leftChars="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大沁他拉镇英特嘎查委员会</w:t>
      </w:r>
    </w:p>
    <w:p>
      <w:pPr>
        <w:widowControl/>
        <w:numPr>
          <w:ilvl w:val="0"/>
          <w:numId w:val="0"/>
        </w:numPr>
        <w:spacing w:after="240"/>
        <w:ind w:leftChars="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2020年12月2</w:t>
      </w:r>
      <w:bookmarkStart w:id="0" w:name="_GoBack"/>
      <w:bookmarkEnd w:id="0"/>
      <w:r>
        <w:rPr>
          <w:rFonts w:hint="eastAsia" w:ascii="黑体" w:hAnsi="黑体" w:eastAsia="黑体" w:cs="黑体"/>
          <w:kern w:val="0"/>
          <w:sz w:val="24"/>
          <w:szCs w:val="24"/>
          <w:lang w:val="en-US" w:eastAsia="zh-CN"/>
        </w:rPr>
        <w:t>日</w:t>
      </w:r>
    </w:p>
    <w:p>
      <w:pPr>
        <w:widowControl/>
        <w:numPr>
          <w:ilvl w:val="0"/>
          <w:numId w:val="0"/>
        </w:numPr>
        <w:spacing w:after="240"/>
        <w:ind w:leftChars="0"/>
        <w:rPr>
          <w:rFonts w:hint="default" w:ascii="黑体" w:hAnsi="宋体" w:eastAsia="黑体" w:cs="宋体"/>
          <w:kern w:val="0"/>
          <w:sz w:val="24"/>
          <w:szCs w:val="24"/>
          <w:lang w:val="en-US" w:eastAsia="zh-CN"/>
        </w:rPr>
      </w:pPr>
    </w:p>
    <w:p>
      <w:pPr>
        <w:widowControl/>
        <w:numPr>
          <w:ilvl w:val="0"/>
          <w:numId w:val="0"/>
        </w:numPr>
        <w:spacing w:after="240"/>
        <w:rPr>
          <w:rFonts w:hint="eastAsia" w:ascii="黑体" w:hAnsi="宋体" w:eastAsia="黑体" w:cs="宋体"/>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73F2"/>
    <w:multiLevelType w:val="singleLevel"/>
    <w:tmpl w:val="2D4E73F2"/>
    <w:lvl w:ilvl="0" w:tentative="0">
      <w:start w:val="1"/>
      <w:numFmt w:val="chineseCounting"/>
      <w:suff w:val="nothing"/>
      <w:lvlText w:val="%1、"/>
      <w:lvlJc w:val="left"/>
      <w:rPr>
        <w:rFonts w:hint="eastAsia"/>
      </w:rPr>
    </w:lvl>
  </w:abstractNum>
  <w:abstractNum w:abstractNumId="1">
    <w:nsid w:val="3C2F28E8"/>
    <w:multiLevelType w:val="singleLevel"/>
    <w:tmpl w:val="3C2F28E8"/>
    <w:lvl w:ilvl="0" w:tentative="0">
      <w:start w:val="2"/>
      <w:numFmt w:val="chineseCounting"/>
      <w:suff w:val="nothing"/>
      <w:lvlText w:val="（%1）"/>
      <w:lvlJc w:val="left"/>
      <w:rPr>
        <w:rFonts w:hint="eastAsia"/>
      </w:rPr>
    </w:lvl>
  </w:abstractNum>
  <w:abstractNum w:abstractNumId="2">
    <w:nsid w:val="52382E7B"/>
    <w:multiLevelType w:val="singleLevel"/>
    <w:tmpl w:val="52382E7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128A6"/>
    <w:rsid w:val="05F41BDB"/>
    <w:rsid w:val="0C0309F5"/>
    <w:rsid w:val="206B1956"/>
    <w:rsid w:val="2A243EDC"/>
    <w:rsid w:val="43D37624"/>
    <w:rsid w:val="45977CA0"/>
    <w:rsid w:val="54BF2CC7"/>
    <w:rsid w:val="698C1716"/>
    <w:rsid w:val="773128A6"/>
    <w:rsid w:val="77A6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2020-10-28T00:17:00Z</dcterms:created>
  <dc:creator>▍ 封心ぃ</dc:creator>
  <cp:lastModifiedBy>acer</cp:lastModifiedBy>
  <cp:lastPrinted>2020-12-01T01:57:14Z</cp:lastPrinted>
  <dcterms:modified xsi:type="dcterms:W3CDTF">2020-12-01T01:57:32Z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